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41" w:rsidRDefault="00AF3071">
      <w:pPr>
        <w:pStyle w:val="Heading1"/>
        <w:spacing w:before="26"/>
      </w:pPr>
      <w:r>
        <w:t>Anexo II</w:t>
      </w:r>
    </w:p>
    <w:p w:rsidR="00767C41" w:rsidRDefault="00AF3071">
      <w:pPr>
        <w:spacing w:before="19"/>
        <w:ind w:right="141"/>
        <w:jc w:val="center"/>
        <w:rPr>
          <w:b/>
          <w:sz w:val="28"/>
        </w:rPr>
      </w:pPr>
      <w:r>
        <w:rPr>
          <w:b/>
          <w:sz w:val="28"/>
        </w:rPr>
        <w:t>TERMO DE CONFORMIDADE - FASE 2</w:t>
      </w:r>
    </w:p>
    <w:p w:rsidR="00767C41" w:rsidRDefault="00AF3071">
      <w:pPr>
        <w:pStyle w:val="Heading1"/>
        <w:tabs>
          <w:tab w:val="left" w:pos="3135"/>
          <w:tab w:val="left" w:pos="3854"/>
        </w:tabs>
        <w:ind w:right="146"/>
      </w:pPr>
      <w:r>
        <w:t xml:space="preserve">Decreto Municipal nº </w:t>
      </w:r>
      <w:r>
        <w:rPr>
          <w:u w:val="thick"/>
        </w:rPr>
        <w:t xml:space="preserve">   </w:t>
      </w:r>
      <w:r>
        <w:rPr>
          <w:spacing w:val="21"/>
          <w:u w:val="thick"/>
        </w:rPr>
        <w:t xml:space="preserve"> </w:t>
      </w:r>
      <w:r w:rsidR="00734676">
        <w:t xml:space="preserve">   de 2</w:t>
      </w:r>
      <w:r>
        <w:t>020.</w:t>
      </w:r>
    </w:p>
    <w:p w:rsidR="00767C41" w:rsidRDefault="00AF3071">
      <w:pPr>
        <w:pStyle w:val="Corpodetexto"/>
        <w:spacing w:before="21"/>
        <w:ind w:right="141"/>
        <w:jc w:val="center"/>
      </w:pPr>
      <w:r>
        <w:t>(revogou o Decreto nº 05/2019)</w:t>
      </w:r>
    </w:p>
    <w:p w:rsidR="00767C41" w:rsidRDefault="00AF3071">
      <w:pPr>
        <w:pStyle w:val="Corpodetexto"/>
        <w:tabs>
          <w:tab w:val="left" w:pos="4577"/>
        </w:tabs>
        <w:spacing w:before="164"/>
        <w:ind w:left="162"/>
      </w:pPr>
      <w:r>
        <w:t>Processo</w:t>
      </w:r>
      <w:r>
        <w:rPr>
          <w:spacing w:val="1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7C41" w:rsidRDefault="00AF3071">
      <w:pPr>
        <w:pStyle w:val="Corpodetexto"/>
        <w:tabs>
          <w:tab w:val="left" w:pos="5398"/>
        </w:tabs>
        <w:spacing w:before="22"/>
        <w:ind w:left="162"/>
      </w:pPr>
      <w:r>
        <w:t>Nota de Empenho</w:t>
      </w:r>
      <w:r>
        <w:rPr>
          <w:spacing w:val="3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7C41" w:rsidRDefault="00AF3071">
      <w:pPr>
        <w:spacing w:before="57" w:after="48"/>
        <w:ind w:right="314"/>
        <w:jc w:val="right"/>
        <w:rPr>
          <w:sz w:val="16"/>
        </w:rPr>
      </w:pPr>
      <w:r>
        <w:rPr>
          <w:sz w:val="16"/>
        </w:rPr>
        <w:t>Legenda: S = Sim ; N = Não ; NA = Não se aplica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5"/>
        <w:gridCol w:w="9395"/>
        <w:gridCol w:w="885"/>
      </w:tblGrid>
      <w:tr w:rsidR="00767C41">
        <w:trPr>
          <w:trHeight w:val="270"/>
        </w:trPr>
        <w:tc>
          <w:tcPr>
            <w:tcW w:w="595" w:type="dxa"/>
            <w:shd w:val="clear" w:color="auto" w:fill="D7D7D7"/>
          </w:tcPr>
          <w:p w:rsidR="00767C41" w:rsidRDefault="00AF3071">
            <w:pPr>
              <w:pStyle w:val="TableParagraph"/>
              <w:spacing w:before="1" w:line="249" w:lineRule="exact"/>
              <w:ind w:left="53" w:right="14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395" w:type="dxa"/>
            <w:shd w:val="clear" w:color="auto" w:fill="D7D7D7"/>
          </w:tcPr>
          <w:p w:rsidR="00767C41" w:rsidRDefault="00AF3071">
            <w:pPr>
              <w:pStyle w:val="TableParagraph"/>
              <w:spacing w:before="1" w:line="249" w:lineRule="exact"/>
              <w:ind w:left="4161" w:right="4125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885" w:type="dxa"/>
            <w:shd w:val="clear" w:color="auto" w:fill="D7D7D7"/>
          </w:tcPr>
          <w:p w:rsidR="00767C41" w:rsidRDefault="00AF3071">
            <w:pPr>
              <w:pStyle w:val="TableParagraph"/>
              <w:spacing w:before="1" w:line="249" w:lineRule="exact"/>
              <w:ind w:left="91"/>
              <w:rPr>
                <w:b/>
              </w:rPr>
            </w:pPr>
            <w:r>
              <w:rPr>
                <w:b/>
              </w:rPr>
              <w:t>S/N/NA</w:t>
            </w: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35"/>
              <w:jc w:val="center"/>
            </w:pPr>
            <w:r>
              <w:t>1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45"/>
            </w:pPr>
            <w:r>
              <w:t>O Termo de Conformidade - Fase 1 está anexado aos autos e devidamente preenchido e assinado?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27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2" w:line="249" w:lineRule="exact"/>
              <w:ind w:left="35"/>
              <w:jc w:val="center"/>
            </w:pPr>
            <w:r>
              <w:t>2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2" w:line="249" w:lineRule="exact"/>
            </w:pPr>
            <w:r>
              <w:t>A autorização do empenho foi dada por autoridade competente (ordenador de despesa)?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7C41">
        <w:trPr>
          <w:trHeight w:val="27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" w:line="249" w:lineRule="exact"/>
              <w:ind w:left="35"/>
              <w:jc w:val="center"/>
            </w:pPr>
            <w:r>
              <w:t>3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" w:line="249" w:lineRule="exact"/>
            </w:pPr>
            <w:r>
              <w:t>A nota de empenho está assinada pela autoridade competente (ordenador de despesa)?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7C41">
        <w:trPr>
          <w:trHeight w:val="27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" w:line="249" w:lineRule="exact"/>
              <w:ind w:left="35"/>
              <w:jc w:val="center"/>
            </w:pPr>
            <w:r>
              <w:t>4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" w:line="249" w:lineRule="exact"/>
            </w:pPr>
            <w:r>
              <w:t>A Nota de empenho está numerada sequencialmente?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35"/>
              <w:jc w:val="center"/>
            </w:pPr>
            <w:r>
              <w:t>5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45"/>
            </w:pPr>
            <w:r>
              <w:t>O empenho de despesa é prévio em relação à data da respectiva aquisição e nota fiscal do fornecedor?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35"/>
              <w:jc w:val="center"/>
            </w:pPr>
            <w:r>
              <w:t>6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45"/>
            </w:pPr>
            <w:r>
              <w:t>O empenho não excedeu ao limite de créditos concedidos, ou seja, existe contrato vigente?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3465"/>
        </w:trPr>
        <w:tc>
          <w:tcPr>
            <w:tcW w:w="59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45" w:line="259" w:lineRule="auto"/>
            </w:pPr>
            <w:r>
              <w:t>No caso de não existência de Termo de Contrato, consta nos autos a devida justificativa pela falta de associação a um contrato firmado, indicando os casos definidos por Lei? A saber:</w:t>
            </w:r>
          </w:p>
          <w:p w:rsidR="00767C41" w:rsidRDefault="00AF3071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/>
              <w:ind w:hanging="164"/>
            </w:pPr>
            <w:r>
              <w:t>- Valor inferior ao previsto para TP (Art. 62 da</w:t>
            </w:r>
            <w:r>
              <w:rPr>
                <w:spacing w:val="1"/>
              </w:rPr>
              <w:t xml:space="preserve"> </w:t>
            </w:r>
            <w:r>
              <w:t>8.666/93);</w:t>
            </w:r>
          </w:p>
          <w:p w:rsidR="00767C41" w:rsidRDefault="00AF3071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22" w:line="259" w:lineRule="auto"/>
              <w:ind w:left="38" w:right="748" w:firstLine="150"/>
            </w:pPr>
            <w:r>
              <w:t>- Compra com entrega imediata e integral, não resultando obrigações futuras (art. 62 §4º da 8.666/93);</w:t>
            </w:r>
          </w:p>
          <w:p w:rsidR="00767C41" w:rsidRDefault="00AF3071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 w:line="259" w:lineRule="auto"/>
              <w:ind w:left="188" w:right="3346" w:firstLine="0"/>
            </w:pPr>
            <w:r>
              <w:t>- Concessinários de serviço público (água, energia elétrica, etc); 4 - Tarifas e Obrigações</w:t>
            </w:r>
            <w:r>
              <w:rPr>
                <w:spacing w:val="2"/>
              </w:rPr>
              <w:t xml:space="preserve"> </w:t>
            </w:r>
            <w:r>
              <w:t>bancárias;</w:t>
            </w:r>
          </w:p>
          <w:p w:rsidR="00767C41" w:rsidRDefault="00AF3071">
            <w:pPr>
              <w:pStyle w:val="TableParagraph"/>
              <w:spacing w:before="1" w:line="259" w:lineRule="auto"/>
              <w:ind w:left="188" w:right="1913"/>
            </w:pPr>
            <w:r>
              <w:t>5 - Taxas, custas, tributos ou emolumentos devidos a outros entes da federação; 6 - Adiantamentos;</w:t>
            </w:r>
          </w:p>
          <w:p w:rsidR="00767C41" w:rsidRDefault="00AF3071">
            <w:pPr>
              <w:pStyle w:val="TableParagraph"/>
              <w:spacing w:line="259" w:lineRule="auto"/>
              <w:ind w:firstLine="150"/>
            </w:pPr>
            <w:r>
              <w:t>7 - Outros casos não especificados (neste caso deverá constar justificativa específica e verdadeira que ampara a não celebração contratual).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35"/>
              <w:jc w:val="center"/>
            </w:pPr>
            <w:r>
              <w:t>7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"/>
            </w:pPr>
            <w:r>
              <w:t>As notas de anulação de empenho emitidas (se for o caso) têm autorização do ordenador de despesa e</w:t>
            </w:r>
          </w:p>
          <w:p w:rsidR="00767C41" w:rsidRDefault="00AF3071">
            <w:pPr>
              <w:pStyle w:val="TableParagraph"/>
              <w:spacing w:before="22" w:line="249" w:lineRule="exact"/>
            </w:pPr>
            <w:r>
              <w:t>a indicação do motivo de sua emissão?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35"/>
              <w:jc w:val="center"/>
            </w:pPr>
            <w:r>
              <w:t>8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"/>
            </w:pPr>
            <w:r>
              <w:t>O histórico do empenho está definido de forma clara e discriminada, não permitido histórico com</w:t>
            </w:r>
          </w:p>
          <w:p w:rsidR="00767C41" w:rsidRDefault="00AF3071">
            <w:pPr>
              <w:pStyle w:val="TableParagraph"/>
              <w:spacing w:before="22" w:line="249" w:lineRule="exact"/>
            </w:pPr>
            <w:r>
              <w:t>características gerais?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561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6"/>
              <w:ind w:left="35"/>
              <w:jc w:val="center"/>
            </w:pPr>
            <w:r>
              <w:t>9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2"/>
            </w:pPr>
            <w:r>
              <w:t>O tipo de Empenho está definido (ordinário, global, estimativo), de acordo com a requisição e o Termo</w:t>
            </w:r>
          </w:p>
          <w:p w:rsidR="00767C41" w:rsidRDefault="00AF3071">
            <w:pPr>
              <w:pStyle w:val="TableParagraph"/>
              <w:spacing w:before="22" w:line="249" w:lineRule="exact"/>
            </w:pPr>
            <w:r>
              <w:t>de Referência/Projeto Básico?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52" w:right="14"/>
              <w:jc w:val="center"/>
            </w:pPr>
            <w:r>
              <w:t>10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"/>
            </w:pPr>
            <w:r>
              <w:t>No caso de Nota de Empenho por estimativa, há justificativa nos autos quanto a não possibilidade de</w:t>
            </w:r>
          </w:p>
          <w:p w:rsidR="00767C41" w:rsidRDefault="00AF3071">
            <w:pPr>
              <w:pStyle w:val="TableParagraph"/>
              <w:spacing w:before="22" w:line="249" w:lineRule="exact"/>
            </w:pPr>
            <w:r>
              <w:t>definição dos valores totais?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52" w:right="14"/>
              <w:jc w:val="center"/>
            </w:pPr>
            <w:r>
              <w:t>11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"/>
            </w:pPr>
            <w:r>
              <w:t>A fundamentação legal da despesa (licitação, dispensa/inexigibilidade ou outro definido em Lei) consta</w:t>
            </w:r>
          </w:p>
          <w:p w:rsidR="00767C41" w:rsidRDefault="00AF3071">
            <w:pPr>
              <w:pStyle w:val="TableParagraph"/>
              <w:spacing w:before="22" w:line="249" w:lineRule="exact"/>
            </w:pPr>
            <w:r>
              <w:t>dos autos e está em conformidade com a Nota de Empenho?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7C41">
        <w:trPr>
          <w:trHeight w:val="560"/>
        </w:trPr>
        <w:tc>
          <w:tcPr>
            <w:tcW w:w="595" w:type="dxa"/>
          </w:tcPr>
          <w:p w:rsidR="00767C41" w:rsidRDefault="00AF3071">
            <w:pPr>
              <w:pStyle w:val="TableParagraph"/>
              <w:spacing w:before="145"/>
              <w:ind w:left="52" w:right="14"/>
              <w:jc w:val="center"/>
            </w:pPr>
            <w:r>
              <w:t>12</w:t>
            </w:r>
          </w:p>
        </w:tc>
        <w:tc>
          <w:tcPr>
            <w:tcW w:w="9395" w:type="dxa"/>
          </w:tcPr>
          <w:p w:rsidR="00767C41" w:rsidRDefault="00AF3071">
            <w:pPr>
              <w:pStyle w:val="TableParagraph"/>
              <w:spacing w:before="1"/>
            </w:pPr>
            <w:r>
              <w:t>A Nota de empenho está preenchida de acordo com a requisição, inclusive quanto ao tipo de empenho</w:t>
            </w:r>
          </w:p>
          <w:p w:rsidR="00767C41" w:rsidRDefault="00AF3071">
            <w:pPr>
              <w:pStyle w:val="TableParagraph"/>
              <w:spacing w:before="22" w:line="249" w:lineRule="exact"/>
            </w:pPr>
            <w:r>
              <w:t>(ordinário, global ou estimativo)?</w:t>
            </w:r>
          </w:p>
        </w:tc>
        <w:tc>
          <w:tcPr>
            <w:tcW w:w="885" w:type="dxa"/>
          </w:tcPr>
          <w:p w:rsidR="00767C41" w:rsidRDefault="00767C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67C41" w:rsidRDefault="00767C41">
      <w:pPr>
        <w:pStyle w:val="Corpodetexto"/>
        <w:spacing w:before="3"/>
        <w:rPr>
          <w:sz w:val="14"/>
        </w:rPr>
      </w:pPr>
    </w:p>
    <w:p w:rsidR="00767C41" w:rsidRDefault="00631E32">
      <w:pPr>
        <w:pStyle w:val="Corpodetexto"/>
        <w:tabs>
          <w:tab w:val="left" w:pos="8142"/>
        </w:tabs>
        <w:ind w:left="757"/>
      </w:pPr>
      <w:r w:rsidRPr="00631E32">
        <w:pict>
          <v:group id="_x0000_s1045" style="position:absolute;left:0;text-align:left;margin-left:24.7pt;margin-top:-1.05pt;width:30.75pt;height:15.5pt;z-index:251659264;mso-position-horizontal-relative:page" coordorigin="494,-21" coordsize="615,310">
            <v:line id="_x0000_s1053" style="position:absolute" from="496,-20" to="496,287" strokeweight=".14pt"/>
            <v:line id="_x0000_s1052" style="position:absolute" from="504,-21" to="504,289" strokeweight=".96pt"/>
            <v:line id="_x0000_s1051" style="position:absolute" from="1091,-1" to="1091,287" strokeweight=".14pt"/>
            <v:line id="_x0000_s1050" style="position:absolute" from="1099,-2" to="1099,289" strokeweight=".96pt"/>
            <v:line id="_x0000_s1049" style="position:absolute" from="515,-20" to="1108,-20" strokeweight=".14pt"/>
            <v:line id="_x0000_s1048" style="position:absolute" from="514,-11" to="1109,-11" strokeweight=".33864mm"/>
            <v:line id="_x0000_s1047" style="position:absolute" from="515,271" to="1108,271" strokeweight=".14pt"/>
            <v:line id="_x0000_s1046" style="position:absolute" from="514,279" to="1109,279" strokeweight=".96pt"/>
            <w10:wrap anchorx="page"/>
          </v:group>
        </w:pict>
      </w:r>
      <w:r w:rsidR="00AF3071">
        <w:t>Pelo prosseguimento, para</w:t>
      </w:r>
      <w:r w:rsidR="00AF3071">
        <w:rPr>
          <w:spacing w:val="1"/>
        </w:rPr>
        <w:t xml:space="preserve"> </w:t>
      </w:r>
      <w:r w:rsidR="00AF3071">
        <w:t>a/o</w:t>
      </w:r>
      <w:r w:rsidR="00AF3071">
        <w:rPr>
          <w:spacing w:val="1"/>
        </w:rPr>
        <w:t xml:space="preserve"> </w:t>
      </w:r>
      <w:r w:rsidR="00AF3071">
        <w:rPr>
          <w:u w:val="single"/>
        </w:rPr>
        <w:t xml:space="preserve"> </w:t>
      </w:r>
      <w:r w:rsidR="00AF3071">
        <w:rPr>
          <w:u w:val="single"/>
        </w:rPr>
        <w:tab/>
      </w:r>
    </w:p>
    <w:p w:rsidR="00767C41" w:rsidRDefault="00631E32">
      <w:pPr>
        <w:pStyle w:val="Corpodetexto"/>
        <w:tabs>
          <w:tab w:val="left" w:pos="8309"/>
        </w:tabs>
        <w:spacing w:before="137" w:line="259" w:lineRule="auto"/>
        <w:ind w:left="757" w:right="2972"/>
      </w:pPr>
      <w:r w:rsidRPr="00631E32">
        <w:pict>
          <v:group id="_x0000_s1036" style="position:absolute;left:0;text-align:left;margin-left:24.7pt;margin-top:5.8pt;width:30.75pt;height:15.5pt;z-index:251660288;mso-position-horizontal-relative:page" coordorigin="494,116" coordsize="615,310">
            <v:line id="_x0000_s1044" style="position:absolute" from="1091,136" to="1091,424" strokeweight=".14pt"/>
            <v:line id="_x0000_s1043" style="position:absolute" from="1099,135" to="1099,426" strokeweight=".96pt"/>
            <v:line id="_x0000_s1042" style="position:absolute" from="496,117" to="496,424" strokeweight=".14pt"/>
            <v:line id="_x0000_s1041" style="position:absolute" from="504,116" to="504,426" strokeweight=".96pt"/>
            <v:line id="_x0000_s1040" style="position:absolute" from="515,117" to="1108,117" strokeweight=".14pt"/>
            <v:line id="_x0000_s1039" style="position:absolute" from="514,126" to="1109,126" strokeweight=".96pt"/>
            <v:line id="_x0000_s1038" style="position:absolute" from="515,408" to="1108,408" strokeweight=".14pt"/>
            <v:line id="_x0000_s1037" style="position:absolute" from="514,416" to="1109,416" strokeweight=".96pt"/>
            <w10:wrap anchorx="page"/>
          </v:group>
        </w:pict>
      </w:r>
      <w:r w:rsidRPr="00631E32">
        <w:pict>
          <v:group id="_x0000_s1027" style="position:absolute;left:0;text-align:left;margin-left:54.45pt;margin-top:34.85pt;width:515.05pt;height:44.55pt;z-index:251661312;mso-position-horizontal-relative:page" coordorigin="1089,697" coordsize="10301,891">
            <v:line id="_x0000_s1035" style="position:absolute" from="1091,698" to="1091,1586" strokeweight=".14pt"/>
            <v:line id="_x0000_s1034" style="position:absolute" from="1099,697" to="1099,1588" strokeweight=".96pt"/>
            <v:line id="_x0000_s1033" style="position:absolute" from="11372,718" to="11372,1586" strokeweight=".14pt"/>
            <v:line id="_x0000_s1032" style="position:absolute" from="11381,716" to="11381,1588" strokeweight=".96pt"/>
            <v:line id="_x0000_s1031" style="position:absolute" from="1110,698" to="11389,698" strokeweight=".14pt"/>
            <v:line id="_x0000_s1030" style="position:absolute" from="1109,707" to="11390,707" strokeweight=".33864mm"/>
            <v:line id="_x0000_s1029" style="position:absolute" from="1110,1570" to="11389,1570" strokeweight=".14pt"/>
            <v:line id="_x0000_s1028" style="position:absolute" from="1109,1578" to="11390,1578" strokeweight=".96pt"/>
            <w10:wrap anchorx="page"/>
          </v:group>
        </w:pict>
      </w:r>
      <w:r w:rsidR="00AF3071">
        <w:t>ADEQUAÇÃO, para</w:t>
      </w:r>
      <w:r w:rsidR="00AF3071">
        <w:rPr>
          <w:spacing w:val="-1"/>
        </w:rPr>
        <w:t xml:space="preserve"> </w:t>
      </w:r>
      <w:r w:rsidR="00AF3071">
        <w:t xml:space="preserve">o Setor/Secretaria </w:t>
      </w:r>
      <w:r w:rsidR="00AF3071">
        <w:rPr>
          <w:u w:val="single"/>
        </w:rPr>
        <w:t xml:space="preserve"> </w:t>
      </w:r>
      <w:r w:rsidR="00AF3071">
        <w:rPr>
          <w:u w:val="single"/>
        </w:rPr>
        <w:tab/>
      </w:r>
      <w:r w:rsidR="00AF3071">
        <w:t xml:space="preserve">                                                                          Motivo da</w:t>
      </w:r>
      <w:r w:rsidR="00AF3071">
        <w:rPr>
          <w:spacing w:val="1"/>
        </w:rPr>
        <w:t xml:space="preserve"> </w:t>
      </w:r>
      <w:r w:rsidR="00AF3071">
        <w:t>Diligência:</w:t>
      </w:r>
    </w:p>
    <w:p w:rsidR="00767C41" w:rsidRDefault="00767C41">
      <w:pPr>
        <w:pStyle w:val="Corpodetexto"/>
      </w:pPr>
    </w:p>
    <w:p w:rsidR="00767C41" w:rsidRDefault="00767C41">
      <w:pPr>
        <w:pStyle w:val="Corpodetexto"/>
      </w:pPr>
    </w:p>
    <w:p w:rsidR="00767C41" w:rsidRDefault="00767C41">
      <w:pPr>
        <w:pStyle w:val="Corpodetexto"/>
      </w:pPr>
    </w:p>
    <w:p w:rsidR="00767C41" w:rsidRDefault="00767C41">
      <w:pPr>
        <w:pStyle w:val="Corpodetexto"/>
        <w:spacing w:before="3"/>
        <w:rPr>
          <w:sz w:val="29"/>
        </w:rPr>
      </w:pPr>
    </w:p>
    <w:p w:rsidR="00767C41" w:rsidRDefault="00AF3071">
      <w:pPr>
        <w:pStyle w:val="Corpodetexto"/>
        <w:tabs>
          <w:tab w:val="left" w:pos="1652"/>
          <w:tab w:val="left" w:pos="2180"/>
          <w:tab w:val="left" w:pos="2928"/>
        </w:tabs>
        <w:ind w:right="444"/>
        <w:jc w:val="center"/>
      </w:pPr>
      <w:r>
        <w:t>Barra do Pirai,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67C41" w:rsidRDefault="00767C41">
      <w:pPr>
        <w:pStyle w:val="Corpodetexto"/>
        <w:rPr>
          <w:sz w:val="20"/>
        </w:rPr>
      </w:pPr>
    </w:p>
    <w:p w:rsidR="00767C41" w:rsidRDefault="00631E32">
      <w:pPr>
        <w:pStyle w:val="Corpodetexto"/>
        <w:spacing w:before="7"/>
        <w:rPr>
          <w:sz w:val="21"/>
        </w:rPr>
      </w:pPr>
      <w:r w:rsidRPr="00631E32">
        <w:pict>
          <v:line id="_x0000_s1026" style="position:absolute;z-index:-251658240;mso-wrap-distance-left:0;mso-wrap-distance-right:0;mso-position-horizontal-relative:page" from="182.3pt,15.5pt" to="397.6pt,15.5pt" strokeweight=".25292mm">
            <w10:wrap type="topAndBottom" anchorx="page"/>
          </v:line>
        </w:pict>
      </w:r>
    </w:p>
    <w:p w:rsidR="00767C41" w:rsidRDefault="00AF3071">
      <w:pPr>
        <w:pStyle w:val="Corpodetexto"/>
        <w:spacing w:before="11"/>
        <w:ind w:left="2980"/>
      </w:pPr>
      <w:r>
        <w:t>Assinatura e Carimbo do Responsável pela informação</w:t>
      </w:r>
    </w:p>
    <w:p w:rsidR="00767C41" w:rsidRDefault="00767C41">
      <w:pPr>
        <w:pStyle w:val="Corpodetexto"/>
        <w:spacing w:before="9"/>
        <w:rPr>
          <w:sz w:val="11"/>
        </w:rPr>
      </w:pPr>
    </w:p>
    <w:p w:rsidR="00767C41" w:rsidRDefault="00AF3071">
      <w:pPr>
        <w:pStyle w:val="Corpodetexto"/>
        <w:spacing w:before="57"/>
        <w:ind w:right="116"/>
        <w:jc w:val="right"/>
      </w:pPr>
      <w:r>
        <w:t>1/1</w:t>
      </w:r>
    </w:p>
    <w:sectPr w:rsidR="00767C41" w:rsidSect="00767C41">
      <w:type w:val="continuous"/>
      <w:pgSz w:w="11910" w:h="16840"/>
      <w:pgMar w:top="200" w:right="2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052F"/>
    <w:multiLevelType w:val="hybridMultilevel"/>
    <w:tmpl w:val="63EE243C"/>
    <w:lvl w:ilvl="0" w:tplc="8BE40CD4">
      <w:start w:val="1"/>
      <w:numFmt w:val="decimal"/>
      <w:lvlText w:val="%1"/>
      <w:lvlJc w:val="left"/>
      <w:pPr>
        <w:ind w:left="351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D1C4DAE">
      <w:numFmt w:val="bullet"/>
      <w:lvlText w:val="•"/>
      <w:lvlJc w:val="left"/>
      <w:pPr>
        <w:ind w:left="1261" w:hanging="163"/>
      </w:pPr>
      <w:rPr>
        <w:rFonts w:hint="default"/>
        <w:lang w:val="pt-PT" w:eastAsia="pt-PT" w:bidi="pt-PT"/>
      </w:rPr>
    </w:lvl>
    <w:lvl w:ilvl="2" w:tplc="7CA43BD8">
      <w:numFmt w:val="bullet"/>
      <w:lvlText w:val="•"/>
      <w:lvlJc w:val="left"/>
      <w:pPr>
        <w:ind w:left="2163" w:hanging="163"/>
      </w:pPr>
      <w:rPr>
        <w:rFonts w:hint="default"/>
        <w:lang w:val="pt-PT" w:eastAsia="pt-PT" w:bidi="pt-PT"/>
      </w:rPr>
    </w:lvl>
    <w:lvl w:ilvl="3" w:tplc="22EACC9A">
      <w:numFmt w:val="bullet"/>
      <w:lvlText w:val="•"/>
      <w:lvlJc w:val="left"/>
      <w:pPr>
        <w:ind w:left="3064" w:hanging="163"/>
      </w:pPr>
      <w:rPr>
        <w:rFonts w:hint="default"/>
        <w:lang w:val="pt-PT" w:eastAsia="pt-PT" w:bidi="pt-PT"/>
      </w:rPr>
    </w:lvl>
    <w:lvl w:ilvl="4" w:tplc="B7D62EC8">
      <w:numFmt w:val="bullet"/>
      <w:lvlText w:val="•"/>
      <w:lvlJc w:val="left"/>
      <w:pPr>
        <w:ind w:left="3966" w:hanging="163"/>
      </w:pPr>
      <w:rPr>
        <w:rFonts w:hint="default"/>
        <w:lang w:val="pt-PT" w:eastAsia="pt-PT" w:bidi="pt-PT"/>
      </w:rPr>
    </w:lvl>
    <w:lvl w:ilvl="5" w:tplc="13EC8A38">
      <w:numFmt w:val="bullet"/>
      <w:lvlText w:val="•"/>
      <w:lvlJc w:val="left"/>
      <w:pPr>
        <w:ind w:left="4867" w:hanging="163"/>
      </w:pPr>
      <w:rPr>
        <w:rFonts w:hint="default"/>
        <w:lang w:val="pt-PT" w:eastAsia="pt-PT" w:bidi="pt-PT"/>
      </w:rPr>
    </w:lvl>
    <w:lvl w:ilvl="6" w:tplc="0D9CA07E">
      <w:numFmt w:val="bullet"/>
      <w:lvlText w:val="•"/>
      <w:lvlJc w:val="left"/>
      <w:pPr>
        <w:ind w:left="5769" w:hanging="163"/>
      </w:pPr>
      <w:rPr>
        <w:rFonts w:hint="default"/>
        <w:lang w:val="pt-PT" w:eastAsia="pt-PT" w:bidi="pt-PT"/>
      </w:rPr>
    </w:lvl>
    <w:lvl w:ilvl="7" w:tplc="75C20220">
      <w:numFmt w:val="bullet"/>
      <w:lvlText w:val="•"/>
      <w:lvlJc w:val="left"/>
      <w:pPr>
        <w:ind w:left="6670" w:hanging="163"/>
      </w:pPr>
      <w:rPr>
        <w:rFonts w:hint="default"/>
        <w:lang w:val="pt-PT" w:eastAsia="pt-PT" w:bidi="pt-PT"/>
      </w:rPr>
    </w:lvl>
    <w:lvl w:ilvl="8" w:tplc="FD74FE4A">
      <w:numFmt w:val="bullet"/>
      <w:lvlText w:val="•"/>
      <w:lvlJc w:val="left"/>
      <w:pPr>
        <w:ind w:left="7572" w:hanging="16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67C41"/>
    <w:rsid w:val="00631E32"/>
    <w:rsid w:val="00734676"/>
    <w:rsid w:val="00767C41"/>
    <w:rsid w:val="00A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7C41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7C41"/>
  </w:style>
  <w:style w:type="paragraph" w:customStyle="1" w:styleId="Heading1">
    <w:name w:val="Heading 1"/>
    <w:basedOn w:val="Normal"/>
    <w:uiPriority w:val="1"/>
    <w:qFormat/>
    <w:rsid w:val="00767C41"/>
    <w:pPr>
      <w:spacing w:before="18"/>
      <w:ind w:right="13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67C41"/>
  </w:style>
  <w:style w:type="paragraph" w:customStyle="1" w:styleId="TableParagraph">
    <w:name w:val="Table Paragraph"/>
    <w:basedOn w:val="Normal"/>
    <w:uiPriority w:val="1"/>
    <w:qFormat/>
    <w:rsid w:val="00767C41"/>
    <w:pPr>
      <w:ind w:left="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2020-03-18T20:07:00Z</dcterms:created>
  <dcterms:modified xsi:type="dcterms:W3CDTF">2020-03-18T20:19:00Z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2020-03-18T00:00:00Z</vt:filetime>
  </property>
</Properties>
</file>